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2C" w:rsidRDefault="00223CE7">
      <w:pPr>
        <w:jc w:val="center"/>
        <w:rPr>
          <w:rFonts w:ascii="標楷體" w:eastAsia="標楷體" w:hAnsi="標楷體"/>
          <w:sz w:val="28"/>
          <w:szCs w:val="36"/>
        </w:rPr>
      </w:pPr>
      <w:r w:rsidRPr="00223CE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B1910" wp14:editId="631D3927">
                <wp:simplePos x="0" y="0"/>
                <wp:positionH relativeFrom="column">
                  <wp:posOffset>5766435</wp:posOffset>
                </wp:positionH>
                <wp:positionV relativeFrom="paragraph">
                  <wp:posOffset>-169545</wp:posOffset>
                </wp:positionV>
                <wp:extent cx="1254125" cy="548640"/>
                <wp:effectExtent l="0" t="0" r="3175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CE7" w:rsidRPr="00223CE7" w:rsidRDefault="00223CE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23CE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proofErr w:type="gramStart"/>
                            <w:r w:rsidRPr="00223CE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05pt;margin-top:-13.35pt;width:98.7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" stroked="f">
                <v:textbox>
                  <w:txbxContent>
                    <w:p w:rsidR="00223CE7" w:rsidRPr="00223CE7" w:rsidRDefault="00223CE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23CE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proofErr w:type="gramStart"/>
                      <w:r w:rsidRPr="00223CE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729E">
        <w:rPr>
          <w:rFonts w:ascii="標楷體" w:eastAsia="標楷體" w:hAnsi="標楷體" w:hint="eastAsia"/>
          <w:sz w:val="28"/>
          <w:szCs w:val="36"/>
        </w:rPr>
        <w:t>國立臺灣海洋大學10</w:t>
      </w:r>
      <w:r w:rsidR="0011729E">
        <w:rPr>
          <w:rFonts w:ascii="標楷體" w:eastAsia="標楷體" w:hAnsi="標楷體"/>
          <w:sz w:val="28"/>
          <w:szCs w:val="36"/>
        </w:rPr>
        <w:t>7</w:t>
      </w:r>
      <w:r w:rsidR="0011729E">
        <w:rPr>
          <w:rFonts w:ascii="標楷體" w:eastAsia="標楷體" w:hAnsi="標楷體" w:hint="eastAsia"/>
          <w:sz w:val="28"/>
          <w:szCs w:val="36"/>
        </w:rPr>
        <w:t>學年第2學期</w:t>
      </w:r>
      <w:bookmarkStart w:id="0" w:name="_GoBack"/>
      <w:bookmarkEnd w:id="0"/>
    </w:p>
    <w:p w:rsidR="00BF742C" w:rsidRDefault="0011729E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高中優質精進計畫-大學預備課程-英語文課程表</w:t>
      </w:r>
    </w:p>
    <w:p w:rsidR="00BF742C" w:rsidRDefault="0011729E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第一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977"/>
        <w:gridCol w:w="1780"/>
        <w:gridCol w:w="1780"/>
        <w:gridCol w:w="1780"/>
        <w:gridCol w:w="1780"/>
      </w:tblGrid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t>4</w:t>
            </w:r>
            <w:r>
              <w:rPr>
                <w:rFonts w:hint="eastAsia"/>
              </w:rPr>
              <w:t>/</w:t>
            </w:r>
            <w:r>
              <w:t>29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t>4</w:t>
            </w:r>
            <w:r>
              <w:rPr>
                <w:rFonts w:hint="eastAsia"/>
              </w:rPr>
              <w:t>/</w:t>
            </w:r>
            <w:r>
              <w:t>30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</w:t>
            </w:r>
            <w: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5/2(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</w:t>
            </w:r>
            <w:r>
              <w:t>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1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8:20-9:10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2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9:20-10:10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10:20-11:10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Conversation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szCs w:val="24"/>
              </w:rPr>
              <w:t>A</w:t>
            </w:r>
            <w:r>
              <w:rPr>
                <w:rFonts w:hint="eastAsia"/>
                <w:szCs w:val="24"/>
              </w:rPr>
              <w:t xml:space="preserve">ctivities 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4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11:15-12:05</w:t>
            </w:r>
          </w:p>
        </w:tc>
        <w:tc>
          <w:tcPr>
            <w:tcW w:w="1977" w:type="dxa"/>
            <w:tcBorders>
              <w:bottom w:val="nil"/>
            </w:tcBorders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ind w:left="720" w:hangingChars="300" w:hanging="7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Conversation </w:t>
            </w:r>
          </w:p>
          <w:p w:rsidR="00BF742C" w:rsidRDefault="0011729E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Games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5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12:10-13:00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6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13:10-14:00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  <w:vAlign w:val="center"/>
          </w:tcPr>
          <w:p w:rsidR="00BF742C" w:rsidRDefault="0011729E">
            <w:pPr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 xml:space="preserve">Introduction to the course </w:t>
            </w: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Reading skill: 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scanning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7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4</w:t>
            </w:r>
            <w:r>
              <w:rPr>
                <w:rFonts w:ascii="Times New Roman" w:eastAsia="標楷體" w:hAnsi="Times New Roman" w:hint="eastAsia"/>
                <w:szCs w:val="20"/>
              </w:rPr>
              <w:t>:10-1</w:t>
            </w:r>
            <w:r>
              <w:rPr>
                <w:rFonts w:ascii="Times New Roman" w:eastAsia="標楷體" w:hAnsi="Times New Roman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Cs w:val="20"/>
              </w:rPr>
              <w:t>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  <w:vAlign w:val="center"/>
          </w:tcPr>
          <w:p w:rsidR="00BF742C" w:rsidRDefault="0011729E">
            <w:pPr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 xml:space="preserve">Breaking </w:t>
            </w:r>
            <w:r>
              <w:rPr>
                <w:rFonts w:eastAsia="標楷體" w:cs="Calibri"/>
                <w:szCs w:val="24"/>
              </w:rPr>
              <w:t>the ice</w:t>
            </w: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Reading skill: skimming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8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Cs w:val="20"/>
              </w:rPr>
              <w:t>:10-1</w:t>
            </w:r>
            <w:r>
              <w:rPr>
                <w:rFonts w:ascii="Times New Roman" w:eastAsia="標楷體" w:hAnsi="Times New Roman"/>
                <w:szCs w:val="20"/>
              </w:rPr>
              <w:t>6</w:t>
            </w:r>
            <w:r>
              <w:rPr>
                <w:rFonts w:ascii="Times New Roman" w:eastAsia="標楷體" w:hAnsi="Times New Roman" w:hint="eastAsia"/>
                <w:szCs w:val="20"/>
              </w:rPr>
              <w:t>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cs="Calibri" w:hint="eastAsia"/>
                <w:szCs w:val="24"/>
              </w:rPr>
              <w:t xml:space="preserve">Listening &amp; speaking skills </w:t>
            </w: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Reading skill: main idea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9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16:05-16:55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Listening &amp; speaking skills </w:t>
            </w:r>
          </w:p>
          <w:p w:rsidR="00BF742C" w:rsidRDefault="00BF742C">
            <w:pPr>
              <w:ind w:firstLineChars="300" w:firstLine="6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Reading skill: context clues 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   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F742C" w:rsidRDefault="00BF742C">
      <w:pPr>
        <w:rPr>
          <w:b/>
          <w:color w:val="FF0000"/>
          <w:sz w:val="28"/>
          <w:szCs w:val="28"/>
        </w:rPr>
      </w:pPr>
    </w:p>
    <w:p w:rsidR="00BF742C" w:rsidRDefault="0011729E">
      <w:pPr>
        <w:rPr>
          <w:b/>
          <w:color w:val="FF0000"/>
        </w:rPr>
      </w:pPr>
      <w:r>
        <w:rPr>
          <w:rFonts w:hint="eastAsia"/>
          <w:b/>
          <w:color w:val="FF0000"/>
          <w:sz w:val="28"/>
          <w:szCs w:val="28"/>
        </w:rPr>
        <w:t>第二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958"/>
        <w:gridCol w:w="1836"/>
        <w:gridCol w:w="1790"/>
        <w:gridCol w:w="1790"/>
        <w:gridCol w:w="1711"/>
      </w:tblGrid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BF742C">
            <w:pPr>
              <w:jc w:val="center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</w:t>
            </w:r>
            <w:r>
              <w:t>6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5/7(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</w:t>
            </w:r>
            <w: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</w:t>
            </w:r>
            <w:r>
              <w:t>9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5/1</w:t>
            </w:r>
            <w:r>
              <w:t>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8:20-9:10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9:20-10:10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10:20-11:10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4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11:15-12:05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5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12:10-13:00</w:t>
            </w:r>
          </w:p>
        </w:tc>
        <w:tc>
          <w:tcPr>
            <w:tcW w:w="1958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6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13:10-14:00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7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14:10-15:00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8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15:10-16:00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9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16:05-16:55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F742C" w:rsidRDefault="00BF742C"/>
    <w:p w:rsidR="00BF742C" w:rsidRDefault="00BF742C"/>
    <w:p w:rsidR="00BF742C" w:rsidRDefault="00BF742C"/>
    <w:p w:rsidR="00BF742C" w:rsidRDefault="00BF742C"/>
    <w:p w:rsidR="00BF742C" w:rsidRDefault="00BF742C"/>
    <w:p w:rsidR="00BF742C" w:rsidRDefault="0011729E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lastRenderedPageBreak/>
        <w:t>國立臺灣海洋大學10</w:t>
      </w:r>
      <w:r>
        <w:rPr>
          <w:rFonts w:ascii="標楷體" w:eastAsia="標楷體" w:hAnsi="標楷體"/>
          <w:sz w:val="28"/>
          <w:szCs w:val="36"/>
        </w:rPr>
        <w:t>7</w:t>
      </w:r>
      <w:r>
        <w:rPr>
          <w:rFonts w:ascii="標楷體" w:eastAsia="標楷體" w:hAnsi="標楷體" w:hint="eastAsia"/>
          <w:sz w:val="28"/>
          <w:szCs w:val="36"/>
        </w:rPr>
        <w:t>學年第2學期</w:t>
      </w:r>
    </w:p>
    <w:p w:rsidR="00BF742C" w:rsidRDefault="0011729E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高中優質精進計畫-大學預備課程-英語文課程表</w:t>
      </w:r>
    </w:p>
    <w:p w:rsidR="00BF742C" w:rsidRDefault="0011729E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第三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977"/>
        <w:gridCol w:w="1780"/>
        <w:gridCol w:w="1780"/>
        <w:gridCol w:w="1780"/>
        <w:gridCol w:w="1780"/>
      </w:tblGrid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BF742C"/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42C" w:rsidRDefault="0011729E">
            <w:r>
              <w:rPr>
                <w:rFonts w:hint="eastAsia"/>
              </w:rPr>
              <w:t>5/</w:t>
            </w:r>
            <w:r>
              <w:t>2</w:t>
            </w:r>
            <w:r>
              <w:rPr>
                <w:rFonts w:hint="eastAsia"/>
              </w:rPr>
              <w:t>0(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11729E">
            <w:r>
              <w:rPr>
                <w:rFonts w:hint="eastAsia"/>
              </w:rPr>
              <w:t>5/21(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r>
              <w:rPr>
                <w:rFonts w:hint="eastAsia"/>
              </w:rPr>
              <w:t>5/22(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r>
              <w:rPr>
                <w:rFonts w:hint="eastAsia"/>
              </w:rPr>
              <w:t>5/23(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r>
              <w:rPr>
                <w:rFonts w:hint="eastAsia"/>
              </w:rPr>
              <w:t>5/24(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8:20-9:10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9:20-10:10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10:20-11:10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11:15-12:05</w:t>
            </w:r>
          </w:p>
        </w:tc>
        <w:tc>
          <w:tcPr>
            <w:tcW w:w="1977" w:type="dxa"/>
            <w:tcBorders>
              <w:bottom w:val="nil"/>
            </w:tcBorders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12:10-13:00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13:10-14:00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 xml:space="preserve">Reading skill: making inferences  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:10-1</w:t>
            </w:r>
            <w:r>
              <w:t>5</w:t>
            </w:r>
            <w:r>
              <w:rPr>
                <w:rFonts w:hint="eastAsia"/>
              </w:rPr>
              <w:t>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Reading Games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:10-1</w:t>
            </w:r>
            <w:r>
              <w:t>6</w:t>
            </w:r>
            <w:r>
              <w:rPr>
                <w:rFonts w:hint="eastAsia"/>
              </w:rPr>
              <w:t>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listening strategies: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part 1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16:05-16:55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listening strategies: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 xml:space="preserve">part 2 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</w:tbl>
    <w:p w:rsidR="00BF742C" w:rsidRDefault="00BF742C">
      <w:pPr>
        <w:rPr>
          <w:b/>
          <w:color w:val="FF0000"/>
          <w:sz w:val="28"/>
          <w:szCs w:val="28"/>
        </w:rPr>
      </w:pPr>
    </w:p>
    <w:p w:rsidR="00BF742C" w:rsidRDefault="0011729E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第四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959"/>
        <w:gridCol w:w="1837"/>
        <w:gridCol w:w="1791"/>
        <w:gridCol w:w="1791"/>
        <w:gridCol w:w="1709"/>
      </w:tblGrid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BF742C"/>
        </w:tc>
        <w:tc>
          <w:tcPr>
            <w:tcW w:w="1959" w:type="dxa"/>
            <w:shd w:val="clear" w:color="auto" w:fill="B2B2B2"/>
            <w:vAlign w:val="center"/>
          </w:tcPr>
          <w:p w:rsidR="00BF742C" w:rsidRDefault="0011729E">
            <w:r>
              <w:rPr>
                <w:rFonts w:hint="eastAsia"/>
              </w:rPr>
              <w:t>5/27(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11729E">
            <w:r>
              <w:rPr>
                <w:rFonts w:hint="eastAsia"/>
              </w:rPr>
              <w:t>5/28(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11729E">
            <w:r>
              <w:rPr>
                <w:rFonts w:hint="eastAsia"/>
              </w:rPr>
              <w:t>5/29(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11729E">
            <w:r>
              <w:rPr>
                <w:rFonts w:hint="eastAsia"/>
              </w:rPr>
              <w:t>5/30(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09" w:type="dxa"/>
            <w:shd w:val="clear" w:color="auto" w:fill="B2B2B2"/>
            <w:vAlign w:val="center"/>
          </w:tcPr>
          <w:p w:rsidR="00BF742C" w:rsidRDefault="0011729E">
            <w:r>
              <w:rPr>
                <w:rFonts w:hint="eastAsia"/>
              </w:rPr>
              <w:t>5/31(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8:20-9:10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auto"/>
            <w:vAlign w:val="center"/>
          </w:tcPr>
          <w:p w:rsidR="00BF742C" w:rsidRDefault="00BF742C"/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9:20-10:10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auto"/>
            <w:vAlign w:val="center"/>
          </w:tcPr>
          <w:p w:rsidR="00BF742C" w:rsidRDefault="00BF742C"/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10:20-11:10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auto"/>
            <w:vAlign w:val="center"/>
          </w:tcPr>
          <w:p w:rsidR="00BF742C" w:rsidRDefault="00BF742C"/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reading strategies: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 xml:space="preserve">part 5 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11:15-12:05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rPr>
                <w:rFonts w:eastAsia="新細明體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TOEIC reading strategies:part</w:t>
            </w:r>
            <w:r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12:10-13:00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91" w:type="dxa"/>
            <w:shd w:val="clear" w:color="auto" w:fill="B2B2B2"/>
            <w:vAlign w:val="center"/>
          </w:tcPr>
          <w:p w:rsidR="00BF742C" w:rsidRDefault="00BF742C">
            <w:pPr>
              <w:jc w:val="center"/>
            </w:pPr>
          </w:p>
        </w:tc>
        <w:tc>
          <w:tcPr>
            <w:tcW w:w="1791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13:10-14:00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CCFFCC"/>
          </w:tcPr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TOEIC listening strategies: part</w:t>
            </w: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TOEIC reading strategies:part</w:t>
            </w:r>
            <w:r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14:10-15:00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TOEIC listening</w:t>
            </w:r>
          </w:p>
          <w:p w:rsidR="00BF742C" w:rsidRDefault="0011729E">
            <w:pPr>
              <w:rPr>
                <w:rFonts w:eastAsia="新細明體"/>
              </w:rPr>
            </w:pPr>
            <w:proofErr w:type="spellStart"/>
            <w:r>
              <w:rPr>
                <w:rFonts w:hint="eastAsia"/>
                <w:szCs w:val="24"/>
              </w:rPr>
              <w:t>strategies:part</w:t>
            </w:r>
            <w:proofErr w:type="spellEnd"/>
            <w:r>
              <w:rPr>
                <w:rFonts w:hint="eastAsia"/>
                <w:szCs w:val="24"/>
              </w:rPr>
              <w:t xml:space="preserve"> 4 </w:t>
            </w: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mini-test: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reading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15:10-16:00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mini-test: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listening</w:t>
            </w: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mini-test: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reading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16:05-16:55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mini-test: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listening</w:t>
            </w: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mini-test: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reading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</w:tbl>
    <w:p w:rsidR="00BF742C" w:rsidRDefault="00BF742C"/>
    <w:p w:rsidR="00BF742C" w:rsidRDefault="00BF742C">
      <w:pPr>
        <w:rPr>
          <w:rFonts w:eastAsiaTheme="minorEastAsia" w:hint="eastAsia"/>
        </w:rPr>
      </w:pPr>
    </w:p>
    <w:p w:rsidR="00223CE7" w:rsidRPr="00223CE7" w:rsidRDefault="00223CE7">
      <w:pPr>
        <w:rPr>
          <w:rFonts w:eastAsiaTheme="minorEastAsia" w:hint="eastAsia"/>
        </w:rPr>
      </w:pPr>
    </w:p>
    <w:p w:rsidR="00BF742C" w:rsidRDefault="0011729E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lastRenderedPageBreak/>
        <w:t>國立臺灣海洋大學10</w:t>
      </w:r>
      <w:r>
        <w:rPr>
          <w:rFonts w:ascii="標楷體" w:eastAsia="標楷體" w:hAnsi="標楷體"/>
          <w:sz w:val="28"/>
          <w:szCs w:val="36"/>
        </w:rPr>
        <w:t>7</w:t>
      </w:r>
      <w:r>
        <w:rPr>
          <w:rFonts w:ascii="標楷體" w:eastAsia="標楷體" w:hAnsi="標楷體" w:hint="eastAsia"/>
          <w:sz w:val="28"/>
          <w:szCs w:val="36"/>
        </w:rPr>
        <w:t>學年第2學期</w:t>
      </w:r>
    </w:p>
    <w:p w:rsidR="00BF742C" w:rsidRDefault="0011729E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高中優質精進計畫-大學預備課程-英語文課程表</w:t>
      </w:r>
    </w:p>
    <w:p w:rsidR="00BF742C" w:rsidRDefault="0011729E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第五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977"/>
        <w:gridCol w:w="1780"/>
        <w:gridCol w:w="1780"/>
        <w:gridCol w:w="1780"/>
        <w:gridCol w:w="1780"/>
      </w:tblGrid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6/6(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6/7(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1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8:20-9:10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2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9:20-10:10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10:20-11:10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Reading for fun: 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short stories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4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11:15-12:05</w:t>
            </w:r>
          </w:p>
        </w:tc>
        <w:tc>
          <w:tcPr>
            <w:tcW w:w="1977" w:type="dxa"/>
            <w:tcBorders>
              <w:bottom w:val="nil"/>
            </w:tcBorders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Reading for fun: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short stories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5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12:10-13:00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6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13:10-14:00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Learning English by watching videos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7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4</w:t>
            </w:r>
            <w:r>
              <w:rPr>
                <w:rFonts w:ascii="Times New Roman" w:eastAsia="標楷體" w:hAnsi="Times New Roman" w:hint="eastAsia"/>
                <w:szCs w:val="20"/>
              </w:rPr>
              <w:t>:10-1</w:t>
            </w:r>
            <w:r>
              <w:rPr>
                <w:rFonts w:ascii="Times New Roman" w:eastAsia="標楷體" w:hAnsi="Times New Roman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Cs w:val="20"/>
              </w:rPr>
              <w:t>:00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Learning English by watching videos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8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Cs w:val="20"/>
              </w:rPr>
              <w:t>:10-1</w:t>
            </w:r>
            <w:r>
              <w:rPr>
                <w:rFonts w:ascii="Times New Roman" w:eastAsia="標楷體" w:hAnsi="Times New Roman"/>
                <w:szCs w:val="20"/>
              </w:rPr>
              <w:t>6</w:t>
            </w:r>
            <w:r>
              <w:rPr>
                <w:rFonts w:ascii="Times New Roman" w:eastAsia="標楷體" w:hAnsi="Times New Roman" w:hint="eastAsia"/>
                <w:szCs w:val="20"/>
              </w:rPr>
              <w:t>:00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  <w:r>
              <w:rPr>
                <w:rFonts w:hint="eastAsia"/>
                <w:sz w:val="20"/>
                <w:szCs w:val="20"/>
              </w:rPr>
              <w:t xml:space="preserve"> English by watching videos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9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16:05-16:55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Sing along 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F742C" w:rsidRDefault="00BF742C">
      <w:pPr>
        <w:rPr>
          <w:b/>
          <w:color w:val="FF0000"/>
          <w:sz w:val="28"/>
          <w:szCs w:val="28"/>
        </w:rPr>
      </w:pPr>
    </w:p>
    <w:p w:rsidR="00BF742C" w:rsidRDefault="0011729E">
      <w:pPr>
        <w:rPr>
          <w:b/>
          <w:color w:val="FF0000"/>
        </w:rPr>
      </w:pPr>
      <w:r>
        <w:rPr>
          <w:rFonts w:hint="eastAsia"/>
          <w:b/>
          <w:color w:val="FF0000"/>
          <w:sz w:val="28"/>
          <w:szCs w:val="28"/>
        </w:rPr>
        <w:t>第六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959"/>
        <w:gridCol w:w="1837"/>
        <w:gridCol w:w="1791"/>
        <w:gridCol w:w="1791"/>
        <w:gridCol w:w="1709"/>
      </w:tblGrid>
      <w:tr w:rsidR="00BF742C">
        <w:trPr>
          <w:trHeight w:val="454"/>
        </w:trPr>
        <w:tc>
          <w:tcPr>
            <w:tcW w:w="1567" w:type="dxa"/>
            <w:vAlign w:val="center"/>
          </w:tcPr>
          <w:p w:rsidR="00BF742C" w:rsidRDefault="00BF742C">
            <w:pPr>
              <w:jc w:val="center"/>
            </w:pPr>
          </w:p>
        </w:tc>
        <w:tc>
          <w:tcPr>
            <w:tcW w:w="1959" w:type="dxa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6/10(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837" w:type="dxa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6/11(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91" w:type="dxa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6/12(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91" w:type="dxa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6/13(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09" w:type="dxa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6/14(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67" w:type="dxa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8:20-9:10</w:t>
            </w:r>
          </w:p>
        </w:tc>
        <w:tc>
          <w:tcPr>
            <w:tcW w:w="195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9:20-10:10</w:t>
            </w:r>
          </w:p>
        </w:tc>
        <w:tc>
          <w:tcPr>
            <w:tcW w:w="195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10:20-11:10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Reading for fun: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short stories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4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11:15-12:05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Reading for fun: 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short stories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5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12:10-13:00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6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13:10-14:00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Learning English </w:t>
            </w:r>
          </w:p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y watching TED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7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14:10-15:00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Learning English</w:t>
            </w:r>
          </w:p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y watching TED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8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15:10-16:00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Learning English</w:t>
            </w:r>
          </w:p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y watching TED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9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16:05-16:55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 xml:space="preserve">Sing along 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F742C" w:rsidRDefault="00BF742C"/>
    <w:sectPr w:rsidR="00BF742C">
      <w:pgSz w:w="11906" w:h="16838"/>
      <w:pgMar w:top="567" w:right="567" w:bottom="567" w:left="567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2C"/>
    <w:rsid w:val="001104A1"/>
    <w:rsid w:val="0011729E"/>
    <w:rsid w:val="00223CE7"/>
    <w:rsid w:val="003026F7"/>
    <w:rsid w:val="00AA491F"/>
    <w:rsid w:val="00B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11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1729E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11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1729E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國立臺灣海洋大學107學年第2學期</dc:title>
  <dc:creator>Tina</dc:creator>
  <cp:lastModifiedBy>ncostay</cp:lastModifiedBy>
  <cp:revision>3</cp:revision>
  <cp:lastPrinted>2019-03-26T03:43:00Z</cp:lastPrinted>
  <dcterms:created xsi:type="dcterms:W3CDTF">2019-03-26T01:54:00Z</dcterms:created>
  <dcterms:modified xsi:type="dcterms:W3CDTF">2019-03-26T03:45:00Z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